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7363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7363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B344F9" w:rsidP="00B344F9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29 май 2018й.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№143                          </w:t>
      </w:r>
      <w:r w:rsidR="00791A4E"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</w:rPr>
        <w:t xml:space="preserve"> 29 мая 2018 года</w:t>
      </w:r>
    </w:p>
    <w:bookmarkEnd w:id="0"/>
    <w:p w:rsidR="00BA6F4E" w:rsidRDefault="00BA6F4E" w:rsidP="00B344F9">
      <w:pPr>
        <w:pStyle w:val="a9"/>
        <w:jc w:val="center"/>
      </w:pPr>
    </w:p>
    <w:p w:rsidR="00C2403E" w:rsidRPr="0091545A" w:rsidRDefault="00BA6F4E" w:rsidP="0091545A">
      <w:pPr>
        <w:pStyle w:val="a9"/>
      </w:pPr>
      <w:r>
        <w:t xml:space="preserve"> </w:t>
      </w:r>
      <w:r w:rsidR="0007308C" w:rsidRPr="00B344F9">
        <w:rPr>
          <w:b/>
          <w:sz w:val="28"/>
          <w:szCs w:val="28"/>
        </w:rPr>
        <w:t xml:space="preserve"> </w:t>
      </w:r>
    </w:p>
    <w:p w:rsidR="00B344F9" w:rsidRDefault="00B344F9" w:rsidP="00B344F9">
      <w:pPr>
        <w:jc w:val="center"/>
        <w:rPr>
          <w:b/>
          <w:sz w:val="28"/>
        </w:rPr>
      </w:pPr>
      <w:r w:rsidRPr="00B344F9">
        <w:rPr>
          <w:b/>
          <w:sz w:val="28"/>
          <w:szCs w:val="28"/>
        </w:rPr>
        <w:t>О внесении изменений в решение Совета от 10.04.2014г. №169 «</w:t>
      </w:r>
      <w:r w:rsidRPr="00B344F9">
        <w:rPr>
          <w:b/>
          <w:sz w:val="28"/>
        </w:rPr>
        <w:t>Об утверждении Нормативов формирования</w:t>
      </w:r>
      <w:r w:rsidR="0091545A">
        <w:rPr>
          <w:b/>
          <w:sz w:val="28"/>
        </w:rPr>
        <w:t xml:space="preserve"> </w:t>
      </w:r>
      <w:r w:rsidRPr="00B344F9">
        <w:rPr>
          <w:b/>
          <w:sz w:val="28"/>
        </w:rPr>
        <w:t xml:space="preserve">расходов на оплату  труда работников сельского поселения  Воздвиженский сельсовет  муниципального  района </w:t>
      </w:r>
      <w:proofErr w:type="spellStart"/>
      <w:r w:rsidRPr="00B344F9">
        <w:rPr>
          <w:b/>
          <w:sz w:val="28"/>
        </w:rPr>
        <w:t>Альшеевский</w:t>
      </w:r>
      <w:proofErr w:type="spellEnd"/>
      <w:r w:rsidRPr="00B344F9">
        <w:rPr>
          <w:b/>
          <w:sz w:val="28"/>
        </w:rPr>
        <w:t xml:space="preserve"> район Республики Башкортостан»</w:t>
      </w:r>
    </w:p>
    <w:p w:rsidR="00B344F9" w:rsidRPr="00B344F9" w:rsidRDefault="00B344F9" w:rsidP="0091545A">
      <w:pPr>
        <w:rPr>
          <w:b/>
          <w:sz w:val="28"/>
        </w:rPr>
      </w:pPr>
    </w:p>
    <w:p w:rsidR="0091545A" w:rsidRPr="0091545A" w:rsidRDefault="0091545A" w:rsidP="0091545A">
      <w:pPr>
        <w:pStyle w:val="a9"/>
      </w:pPr>
      <w:r>
        <w:t xml:space="preserve"> </w:t>
      </w:r>
    </w:p>
    <w:p w:rsidR="0091545A" w:rsidRDefault="0091545A" w:rsidP="0091545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2 статьи 22 Федерального  закона  от 02.03.2007г.  </w:t>
      </w:r>
      <w:r w:rsidR="00B26A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25-ФЗ «О муниципальной службе в Российской Федерации» и  постановлением Правительства Республики Башкортост</w:t>
      </w:r>
      <w:r w:rsidR="00B26A8C">
        <w:rPr>
          <w:sz w:val="28"/>
          <w:szCs w:val="28"/>
        </w:rPr>
        <w:t>ан от 28 мая 2018 года  № 234 «</w:t>
      </w:r>
      <w:r>
        <w:rPr>
          <w:sz w:val="28"/>
          <w:szCs w:val="28"/>
        </w:rPr>
        <w:t>О внесении изменений в нормативы формирования расходов на оплату труда в органах местного самоуправлен</w:t>
      </w:r>
      <w:r w:rsidR="004F4750">
        <w:rPr>
          <w:sz w:val="28"/>
          <w:szCs w:val="28"/>
        </w:rPr>
        <w:t xml:space="preserve">ия в Республике Башкортостан», </w:t>
      </w:r>
      <w:r>
        <w:rPr>
          <w:sz w:val="28"/>
          <w:szCs w:val="28"/>
        </w:rPr>
        <w:t xml:space="preserve">Совет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91545A" w:rsidRDefault="0091545A" w:rsidP="0091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Воздвиженский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</w:t>
      </w:r>
      <w:r w:rsidR="00B2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Башкортостан, утвержденные 10 апреля 2014 года № 169.</w:t>
      </w:r>
    </w:p>
    <w:p w:rsidR="0091545A" w:rsidRDefault="0091545A" w:rsidP="0091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91545A" w:rsidRDefault="0091545A" w:rsidP="0091545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мая  2018 года.  </w:t>
      </w:r>
    </w:p>
    <w:p w:rsidR="0091545A" w:rsidRDefault="0091545A" w:rsidP="009154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91545A" w:rsidRDefault="0091545A" w:rsidP="0091545A">
      <w:pPr>
        <w:pStyle w:val="30"/>
        <w:ind w:left="0"/>
        <w:jc w:val="both"/>
        <w:rPr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Ф.Н.Мазитов</w:t>
      </w:r>
      <w:proofErr w:type="spellEnd"/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91545A" w:rsidRDefault="0091545A" w:rsidP="0091545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сельского поселения Воздвиженский сельсовет</w:t>
      </w:r>
    </w:p>
    <w:p w:rsidR="0091545A" w:rsidRDefault="0091545A" w:rsidP="0091545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Альшеевский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91545A" w:rsidRDefault="0091545A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91545A" w:rsidRDefault="0091545A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«29 » мая  2018 года  № 143</w:t>
      </w:r>
    </w:p>
    <w:p w:rsidR="0091545A" w:rsidRDefault="0091545A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545A" w:rsidRDefault="0091545A" w:rsidP="009154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</w:p>
    <w:p w:rsidR="0091545A" w:rsidRDefault="0091545A" w:rsidP="0091545A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«Условия денежного содержания» изложить в следующей редакции: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денежного содержания</w:t>
      </w:r>
    </w:p>
    <w:p w:rsidR="0091545A" w:rsidRDefault="0091545A" w:rsidP="00915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Главе сельского поселения, возглавляющему местную администрацию  и исполняющему полномочия председателя представительного органа сельского поселения, председателям контрольно-счетных органов 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выплачивается ежемесячное денежное вознаграждение в размерах, определенных с учетом должностных окладов и надбавок.</w:t>
      </w:r>
    </w:p>
    <w:p w:rsidR="0091545A" w:rsidRDefault="0091545A" w:rsidP="009154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пределах фонда оплаты труда главе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возглавляющему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местную администрацию и исполняющему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ежемесячное денежное поощрение в размере двух ежемесячных денежных  вознаграждений;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 пределах фонда оплаты труда председателям контрольно-счетных органов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помимо ежемесячного денежного вознаграждения, выплачиваются: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ежемесячное денежное поощрение: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председателям контрольно-счетных органов поселения - в размере 2 ежемесячных денежных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вонаграждений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91545A" w:rsidRDefault="00B26A8C" w:rsidP="00B26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45A">
        <w:rPr>
          <w:rFonts w:ascii="Times New Roman" w:hAnsi="Times New Roman" w:cs="Times New Roman"/>
          <w:sz w:val="28"/>
          <w:szCs w:val="28"/>
        </w:rPr>
        <w:t>4.2.     Муниципальным служащим могут выплачиваться: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индексироваться в сроки и пределах повышения размеров окладов за классный чин государственных гражданских служащих Республики  Башкортостан.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91545A" w:rsidRDefault="0091545A" w:rsidP="0091545A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процентов от должностного оклада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устанавливаемой в соответствии с настоящими Нормативами.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лица, замещающего должность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ежемесячное денежное поощрение: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-муниципальным служащим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в порядке, которые установлены законодательством Российской Федерации;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предоставлении ежегодного оплачиваемого отпуска - единовременная выплата к отпуску в размере 2 окладов денежного содержания.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1 к указанным нормативам изложить в следующей редакции: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0AC" w:rsidRDefault="005D60A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0AC" w:rsidRDefault="005D60A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1545A" w:rsidRDefault="0091545A" w:rsidP="0091545A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91545A" w:rsidRDefault="0091545A" w:rsidP="0091545A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Воздвиженский сельсовет муниципального района </w:t>
      </w:r>
      <w:proofErr w:type="spellStart"/>
      <w:r>
        <w:rPr>
          <w:b w:val="0"/>
          <w:sz w:val="20"/>
          <w:szCs w:val="20"/>
        </w:rPr>
        <w:t>Альшеевский</w:t>
      </w:r>
      <w:proofErr w:type="spellEnd"/>
      <w:r>
        <w:rPr>
          <w:b w:val="0"/>
          <w:sz w:val="20"/>
          <w:szCs w:val="20"/>
        </w:rPr>
        <w:t xml:space="preserve"> район Республики Башкортостан</w:t>
      </w:r>
    </w:p>
    <w:p w:rsidR="0091545A" w:rsidRDefault="0091545A" w:rsidP="0091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bookmarkStart w:id="1" w:name="YANDEX_84"/>
            <w:bookmarkEnd w:id="1"/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western"/>
              <w:rPr>
                <w:sz w:val="28"/>
                <w:szCs w:val="28"/>
              </w:rPr>
            </w:pPr>
          </w:p>
        </w:tc>
      </w:tr>
      <w:tr w:rsidR="0091545A" w:rsidTr="0091545A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</w:tr>
    </w:tbl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27" w:rsidRDefault="008D4027" w:rsidP="004F0523">
      <w:r>
        <w:separator/>
      </w:r>
    </w:p>
  </w:endnote>
  <w:endnote w:type="continuationSeparator" w:id="0">
    <w:p w:rsidR="008D4027" w:rsidRDefault="008D402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27" w:rsidRDefault="008D4027" w:rsidP="004F0523">
      <w:r>
        <w:separator/>
      </w:r>
    </w:p>
  </w:footnote>
  <w:footnote w:type="continuationSeparator" w:id="0">
    <w:p w:rsidR="008D4027" w:rsidRDefault="008D402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2FC5"/>
    <w:rsid w:val="000E384E"/>
    <w:rsid w:val="0014056B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A69AB"/>
    <w:rsid w:val="003B5D80"/>
    <w:rsid w:val="00401F62"/>
    <w:rsid w:val="0041581F"/>
    <w:rsid w:val="004F0523"/>
    <w:rsid w:val="004F4750"/>
    <w:rsid w:val="005403F3"/>
    <w:rsid w:val="005A22F1"/>
    <w:rsid w:val="005B490A"/>
    <w:rsid w:val="005D60AC"/>
    <w:rsid w:val="00610A9D"/>
    <w:rsid w:val="00612A92"/>
    <w:rsid w:val="00656072"/>
    <w:rsid w:val="0065622E"/>
    <w:rsid w:val="00663624"/>
    <w:rsid w:val="00693D06"/>
    <w:rsid w:val="006F1B40"/>
    <w:rsid w:val="006F68CC"/>
    <w:rsid w:val="007617BC"/>
    <w:rsid w:val="00791A4E"/>
    <w:rsid w:val="007B24C1"/>
    <w:rsid w:val="008200C5"/>
    <w:rsid w:val="00832861"/>
    <w:rsid w:val="00835A94"/>
    <w:rsid w:val="00855AAC"/>
    <w:rsid w:val="0087134A"/>
    <w:rsid w:val="008D4027"/>
    <w:rsid w:val="008E7F01"/>
    <w:rsid w:val="0091545A"/>
    <w:rsid w:val="009568F3"/>
    <w:rsid w:val="009826A1"/>
    <w:rsid w:val="00996BDA"/>
    <w:rsid w:val="009A4734"/>
    <w:rsid w:val="009C51EF"/>
    <w:rsid w:val="00A306F8"/>
    <w:rsid w:val="00A70914"/>
    <w:rsid w:val="00AA5FFF"/>
    <w:rsid w:val="00B02E99"/>
    <w:rsid w:val="00B111DF"/>
    <w:rsid w:val="00B141B0"/>
    <w:rsid w:val="00B26A8C"/>
    <w:rsid w:val="00B33004"/>
    <w:rsid w:val="00B344F9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363A"/>
    <w:rsid w:val="00D770DD"/>
    <w:rsid w:val="00E377D5"/>
    <w:rsid w:val="00E50522"/>
    <w:rsid w:val="00E86CFA"/>
    <w:rsid w:val="00EE71D5"/>
    <w:rsid w:val="00EF7A79"/>
    <w:rsid w:val="00F073E1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154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1545A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91545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1545A"/>
    <w:rPr>
      <w:sz w:val="24"/>
      <w:szCs w:val="24"/>
      <w:lang w:eastAsia="ar-SA"/>
    </w:rPr>
  </w:style>
  <w:style w:type="paragraph" w:styleId="30">
    <w:name w:val="Body Text Indent 3"/>
    <w:basedOn w:val="a"/>
    <w:link w:val="31"/>
    <w:semiHidden/>
    <w:unhideWhenUsed/>
    <w:rsid w:val="0091545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semiHidden/>
    <w:rsid w:val="0091545A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9154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5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1545A"/>
    <w:pPr>
      <w:spacing w:before="100" w:beforeAutospacing="1" w:after="115"/>
    </w:pPr>
  </w:style>
  <w:style w:type="paragraph" w:customStyle="1" w:styleId="ConsNormal">
    <w:name w:val="ConsNormal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91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23</cp:revision>
  <cp:lastPrinted>2018-05-31T07:51:00Z</cp:lastPrinted>
  <dcterms:created xsi:type="dcterms:W3CDTF">2015-11-19T18:33:00Z</dcterms:created>
  <dcterms:modified xsi:type="dcterms:W3CDTF">2018-05-31T07:54:00Z</dcterms:modified>
</cp:coreProperties>
</file>